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6B7F" w14:textId="137EB6CD" w:rsidR="00C659AA" w:rsidRDefault="00C659AA" w:rsidP="00C659AA">
      <w:pPr>
        <w:jc w:val="center"/>
        <w:rPr>
          <w:b/>
          <w:bCs/>
          <w:sz w:val="32"/>
          <w:szCs w:val="32"/>
        </w:rPr>
      </w:pPr>
      <w:r>
        <w:rPr>
          <w:b/>
          <w:bCs/>
          <w:sz w:val="32"/>
          <w:szCs w:val="32"/>
        </w:rPr>
        <w:t>STATE ACCOUNTABILITY SCORES RELEASED</w:t>
      </w:r>
    </w:p>
    <w:p w14:paraId="7F379256" w14:textId="58BB1465" w:rsidR="00C659AA" w:rsidRPr="00C659AA" w:rsidRDefault="00C659AA" w:rsidP="00C659AA">
      <w:pPr>
        <w:jc w:val="center"/>
        <w:rPr>
          <w:b/>
          <w:bCs/>
        </w:rPr>
      </w:pPr>
      <w:r>
        <w:rPr>
          <w:b/>
          <w:bCs/>
        </w:rPr>
        <w:t>FALLSBURG LEADS THE WAY WITH A “GREEN” RATING</w:t>
      </w:r>
    </w:p>
    <w:p w14:paraId="1361784D" w14:textId="1D50E03E" w:rsidR="00C659AA" w:rsidRDefault="00C659AA" w:rsidP="00C659AA">
      <w:pPr>
        <w:jc w:val="center"/>
        <w:rPr>
          <w:b/>
          <w:bCs/>
          <w:sz w:val="32"/>
          <w:szCs w:val="32"/>
        </w:rPr>
      </w:pPr>
    </w:p>
    <w:p w14:paraId="055C6ECC" w14:textId="1CCAF90B" w:rsidR="00C659AA" w:rsidRDefault="00C659AA" w:rsidP="00C659AA">
      <w:pPr>
        <w:rPr>
          <w:sz w:val="20"/>
          <w:szCs w:val="20"/>
        </w:rPr>
      </w:pPr>
      <w:r>
        <w:rPr>
          <w:sz w:val="20"/>
          <w:szCs w:val="20"/>
        </w:rPr>
        <w:t>COVID-19 has put many things “on-hold” over the past 2-3 years, including the state accountability system for schools.  During this time, the Kentucky Department of Education made some major changes in the overall accountability system.  Furthermore, since this is the first year for the new system, schools could not be scored based on the growth that was made from one year to the next.  Elementary, middle, and high schools had the following “indicator” groups in common:</w:t>
      </w:r>
    </w:p>
    <w:p w14:paraId="28D5E0DB" w14:textId="3020057B" w:rsidR="00C659AA" w:rsidRDefault="00C659AA" w:rsidP="00C659AA">
      <w:pPr>
        <w:rPr>
          <w:sz w:val="20"/>
          <w:szCs w:val="20"/>
        </w:rPr>
      </w:pPr>
    </w:p>
    <w:p w14:paraId="577F03F1" w14:textId="70CA99A1" w:rsidR="00C659AA" w:rsidRDefault="00C659AA" w:rsidP="00C659AA">
      <w:pPr>
        <w:pStyle w:val="ListParagraph"/>
        <w:numPr>
          <w:ilvl w:val="0"/>
          <w:numId w:val="1"/>
        </w:numPr>
        <w:rPr>
          <w:sz w:val="20"/>
          <w:szCs w:val="20"/>
        </w:rPr>
      </w:pPr>
      <w:r>
        <w:rPr>
          <w:sz w:val="20"/>
          <w:szCs w:val="20"/>
        </w:rPr>
        <w:t>Indicator 1 – Ready and Mathematics (combined)</w:t>
      </w:r>
    </w:p>
    <w:p w14:paraId="49706D81" w14:textId="2774B1A5" w:rsidR="00C659AA" w:rsidRDefault="00C659AA" w:rsidP="00C659AA">
      <w:pPr>
        <w:pStyle w:val="ListParagraph"/>
        <w:numPr>
          <w:ilvl w:val="0"/>
          <w:numId w:val="1"/>
        </w:numPr>
        <w:rPr>
          <w:sz w:val="20"/>
          <w:szCs w:val="20"/>
        </w:rPr>
      </w:pPr>
      <w:r>
        <w:rPr>
          <w:sz w:val="20"/>
          <w:szCs w:val="20"/>
        </w:rPr>
        <w:t>Indicator 2 – Science, Social Studies, and Writing (combined)</w:t>
      </w:r>
    </w:p>
    <w:p w14:paraId="42CFE008" w14:textId="64D24CD4" w:rsidR="00C659AA" w:rsidRDefault="00C659AA" w:rsidP="00C659AA">
      <w:pPr>
        <w:pStyle w:val="ListParagraph"/>
        <w:numPr>
          <w:ilvl w:val="0"/>
          <w:numId w:val="1"/>
        </w:numPr>
        <w:rPr>
          <w:sz w:val="20"/>
          <w:szCs w:val="20"/>
        </w:rPr>
      </w:pPr>
      <w:r>
        <w:rPr>
          <w:sz w:val="20"/>
          <w:szCs w:val="20"/>
        </w:rPr>
        <w:t>Indicator 3 – English Learner Progress (if you had enough students whose primary language was not English)</w:t>
      </w:r>
    </w:p>
    <w:p w14:paraId="53021046" w14:textId="4D1CCC4F" w:rsidR="00C659AA" w:rsidRDefault="00C659AA" w:rsidP="00C659AA">
      <w:pPr>
        <w:pStyle w:val="ListParagraph"/>
        <w:numPr>
          <w:ilvl w:val="0"/>
          <w:numId w:val="1"/>
        </w:numPr>
        <w:rPr>
          <w:sz w:val="20"/>
          <w:szCs w:val="20"/>
        </w:rPr>
      </w:pPr>
      <w:r>
        <w:rPr>
          <w:sz w:val="20"/>
          <w:szCs w:val="20"/>
        </w:rPr>
        <w:t>Indicator 4 – School Climate and Safety</w:t>
      </w:r>
    </w:p>
    <w:p w14:paraId="64D6DB39" w14:textId="02924000" w:rsidR="00C659AA" w:rsidRDefault="00C659AA" w:rsidP="00C659AA">
      <w:pPr>
        <w:rPr>
          <w:sz w:val="20"/>
          <w:szCs w:val="20"/>
        </w:rPr>
      </w:pPr>
    </w:p>
    <w:p w14:paraId="3FADEFBB" w14:textId="3170FDAE" w:rsidR="00C659AA" w:rsidRDefault="00C659AA" w:rsidP="00C659AA">
      <w:pPr>
        <w:rPr>
          <w:sz w:val="20"/>
          <w:szCs w:val="20"/>
        </w:rPr>
      </w:pPr>
      <w:r>
        <w:rPr>
          <w:sz w:val="20"/>
          <w:szCs w:val="20"/>
        </w:rPr>
        <w:t>The high school accountability model included two additional indicators:</w:t>
      </w:r>
    </w:p>
    <w:p w14:paraId="56C0C08B" w14:textId="4445C969" w:rsidR="00C659AA" w:rsidRDefault="00C659AA" w:rsidP="00C659AA">
      <w:pPr>
        <w:pStyle w:val="ListParagraph"/>
        <w:numPr>
          <w:ilvl w:val="0"/>
          <w:numId w:val="2"/>
        </w:numPr>
        <w:rPr>
          <w:sz w:val="20"/>
          <w:szCs w:val="20"/>
        </w:rPr>
      </w:pPr>
      <w:r>
        <w:rPr>
          <w:sz w:val="20"/>
          <w:szCs w:val="20"/>
        </w:rPr>
        <w:t>Indicator 5 – Postsecondary Readiness</w:t>
      </w:r>
    </w:p>
    <w:p w14:paraId="11AC0FFE" w14:textId="28419158" w:rsidR="00C659AA" w:rsidRDefault="00C659AA" w:rsidP="00C659AA">
      <w:pPr>
        <w:pStyle w:val="ListParagraph"/>
        <w:numPr>
          <w:ilvl w:val="0"/>
          <w:numId w:val="2"/>
        </w:numPr>
        <w:rPr>
          <w:sz w:val="20"/>
          <w:szCs w:val="20"/>
        </w:rPr>
      </w:pPr>
      <w:r>
        <w:rPr>
          <w:sz w:val="20"/>
          <w:szCs w:val="20"/>
        </w:rPr>
        <w:t>Indicator 6 – Graduation Rate</w:t>
      </w:r>
    </w:p>
    <w:p w14:paraId="7671983C" w14:textId="64C33C45" w:rsidR="00C659AA" w:rsidRDefault="00C659AA" w:rsidP="00C659AA">
      <w:pPr>
        <w:rPr>
          <w:sz w:val="20"/>
          <w:szCs w:val="20"/>
        </w:rPr>
      </w:pPr>
    </w:p>
    <w:p w14:paraId="30EC2225" w14:textId="6DE6C1AD" w:rsidR="00C659AA" w:rsidRDefault="00C659AA" w:rsidP="00C659AA">
      <w:pPr>
        <w:rPr>
          <w:sz w:val="20"/>
          <w:szCs w:val="20"/>
        </w:rPr>
      </w:pPr>
    </w:p>
    <w:p w14:paraId="679D623A" w14:textId="77777777" w:rsidR="00C659AA" w:rsidRDefault="00C659AA" w:rsidP="00C659AA">
      <w:pPr>
        <w:rPr>
          <w:sz w:val="20"/>
          <w:szCs w:val="20"/>
        </w:rPr>
      </w:pPr>
      <w:r>
        <w:rPr>
          <w:sz w:val="20"/>
          <w:szCs w:val="20"/>
        </w:rPr>
        <w:t>Each school was given scores based on the indicators listed above, then an overall color rating was assigned to each school.  Schools were considered:</w:t>
      </w:r>
    </w:p>
    <w:p w14:paraId="505EF9D0" w14:textId="77777777" w:rsidR="00C659AA" w:rsidRDefault="00C659AA" w:rsidP="00C659AA">
      <w:pPr>
        <w:rPr>
          <w:sz w:val="20"/>
          <w:szCs w:val="20"/>
        </w:rPr>
      </w:pPr>
    </w:p>
    <w:p w14:paraId="48A0FAB1" w14:textId="4F0FB26E" w:rsidR="00C659AA" w:rsidRDefault="00C659AA" w:rsidP="00C659AA">
      <w:pPr>
        <w:pStyle w:val="ListParagraph"/>
        <w:numPr>
          <w:ilvl w:val="0"/>
          <w:numId w:val="3"/>
        </w:numPr>
        <w:rPr>
          <w:sz w:val="20"/>
          <w:szCs w:val="20"/>
        </w:rPr>
      </w:pPr>
      <w:r w:rsidRPr="00C659AA">
        <w:rPr>
          <w:sz w:val="20"/>
          <w:szCs w:val="20"/>
        </w:rPr>
        <w:t xml:space="preserve">“Blue” </w:t>
      </w:r>
      <w:r>
        <w:rPr>
          <w:sz w:val="20"/>
          <w:szCs w:val="20"/>
        </w:rPr>
        <w:t xml:space="preserve"> if student test </w:t>
      </w:r>
      <w:r w:rsidRPr="00C659AA">
        <w:rPr>
          <w:sz w:val="20"/>
          <w:szCs w:val="20"/>
        </w:rPr>
        <w:t>scores had large percentages of students scoring proficient and distinguished</w:t>
      </w:r>
      <w:r>
        <w:rPr>
          <w:sz w:val="20"/>
          <w:szCs w:val="20"/>
        </w:rPr>
        <w:t xml:space="preserve"> and were among the highest in the state (in the top 6</w:t>
      </w:r>
      <w:r w:rsidRPr="00C659AA">
        <w:rPr>
          <w:sz w:val="20"/>
          <w:szCs w:val="20"/>
          <w:vertAlign w:val="superscript"/>
        </w:rPr>
        <w:t>th</w:t>
      </w:r>
      <w:r>
        <w:rPr>
          <w:sz w:val="20"/>
          <w:szCs w:val="20"/>
        </w:rPr>
        <w:t>-10th percentile, depending on grade level).</w:t>
      </w:r>
    </w:p>
    <w:p w14:paraId="13866F09" w14:textId="068C25AA" w:rsidR="00C659AA" w:rsidRDefault="00C659AA" w:rsidP="00C659AA">
      <w:pPr>
        <w:pStyle w:val="ListParagraph"/>
        <w:numPr>
          <w:ilvl w:val="0"/>
          <w:numId w:val="3"/>
        </w:numPr>
        <w:rPr>
          <w:sz w:val="20"/>
          <w:szCs w:val="20"/>
        </w:rPr>
      </w:pPr>
      <w:r>
        <w:rPr>
          <w:sz w:val="20"/>
          <w:szCs w:val="20"/>
        </w:rPr>
        <w:t>“Green” if test scores were high and fell just below the “Blue” category.</w:t>
      </w:r>
    </w:p>
    <w:p w14:paraId="498D9D8F" w14:textId="2D15D12E" w:rsidR="00C659AA" w:rsidRDefault="00C659AA" w:rsidP="00C659AA">
      <w:pPr>
        <w:pStyle w:val="ListParagraph"/>
        <w:numPr>
          <w:ilvl w:val="0"/>
          <w:numId w:val="3"/>
        </w:numPr>
        <w:rPr>
          <w:sz w:val="20"/>
          <w:szCs w:val="20"/>
        </w:rPr>
      </w:pPr>
      <w:r>
        <w:rPr>
          <w:sz w:val="20"/>
          <w:szCs w:val="20"/>
        </w:rPr>
        <w:t>“Yellow” if test scores were close to the state median, above or below, and included approximately 38 – 42% of the schools in the state, depending on the category.</w:t>
      </w:r>
    </w:p>
    <w:p w14:paraId="76DFDEF9" w14:textId="3AAADF4F" w:rsidR="00C659AA" w:rsidRDefault="00C659AA" w:rsidP="00C659AA">
      <w:pPr>
        <w:pStyle w:val="ListParagraph"/>
        <w:numPr>
          <w:ilvl w:val="0"/>
          <w:numId w:val="3"/>
        </w:numPr>
        <w:rPr>
          <w:sz w:val="20"/>
          <w:szCs w:val="20"/>
        </w:rPr>
      </w:pPr>
      <w:r>
        <w:rPr>
          <w:sz w:val="20"/>
          <w:szCs w:val="20"/>
        </w:rPr>
        <w:t>“Orange” if a majority of the test scores fell in a mix of the novice and apprentice category and below the “yellow” status.</w:t>
      </w:r>
    </w:p>
    <w:p w14:paraId="7002DA78" w14:textId="55C78FE0" w:rsidR="00C659AA" w:rsidRDefault="00C659AA" w:rsidP="00C659AA">
      <w:pPr>
        <w:pStyle w:val="ListParagraph"/>
        <w:numPr>
          <w:ilvl w:val="0"/>
          <w:numId w:val="3"/>
        </w:numPr>
        <w:rPr>
          <w:sz w:val="20"/>
          <w:szCs w:val="20"/>
        </w:rPr>
      </w:pPr>
      <w:r>
        <w:rPr>
          <w:sz w:val="20"/>
          <w:szCs w:val="20"/>
        </w:rPr>
        <w:t>“Red” if the test scores were among the lowest in the state with likely with the largest proportion of students falling in the novice and apprentice category (in the bottom 4 to 5% of the schools in the state)</w:t>
      </w:r>
    </w:p>
    <w:p w14:paraId="63E774FE" w14:textId="592F1A92" w:rsidR="00C659AA" w:rsidRDefault="00C659AA" w:rsidP="00C659AA">
      <w:pPr>
        <w:rPr>
          <w:sz w:val="20"/>
          <w:szCs w:val="20"/>
        </w:rPr>
      </w:pPr>
    </w:p>
    <w:p w14:paraId="7F1B398A" w14:textId="527B4F8E" w:rsidR="00C659AA" w:rsidRDefault="00C659AA" w:rsidP="00C659AA">
      <w:pPr>
        <w:rPr>
          <w:sz w:val="20"/>
          <w:szCs w:val="20"/>
        </w:rPr>
      </w:pPr>
    </w:p>
    <w:p w14:paraId="47A710A4" w14:textId="494E57E3" w:rsidR="00C659AA" w:rsidRPr="00C659AA" w:rsidRDefault="00C659AA" w:rsidP="00C659AA">
      <w:pPr>
        <w:rPr>
          <w:sz w:val="20"/>
          <w:szCs w:val="20"/>
        </w:rPr>
      </w:pPr>
      <w:r>
        <w:rPr>
          <w:sz w:val="20"/>
          <w:szCs w:val="20"/>
        </w:rPr>
        <w:t>For the exact percentages of schools scoring in each category, please see the charts below.</w:t>
      </w:r>
    </w:p>
    <w:p w14:paraId="1EA8AA90" w14:textId="77777777" w:rsidR="00C659AA" w:rsidRDefault="00C659AA"/>
    <w:p w14:paraId="11580751" w14:textId="10EE3D0C" w:rsidR="00A75660" w:rsidRDefault="00C659AA">
      <w:r w:rsidRPr="00C659AA">
        <w:rPr>
          <w:noProof/>
        </w:rPr>
        <w:lastRenderedPageBreak/>
        <w:drawing>
          <wp:inline distT="0" distB="0" distL="0" distR="0" wp14:anchorId="5DBB8DB6" wp14:editId="5AC70A1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D17850F" w14:textId="2E049C55" w:rsidR="00C659AA" w:rsidRPr="00C659AA" w:rsidRDefault="00C659AA" w:rsidP="00C659AA"/>
    <w:p w14:paraId="06BE49AA" w14:textId="79BB8227" w:rsidR="00C659AA" w:rsidRDefault="00C659AA" w:rsidP="00C659AA">
      <w:pPr>
        <w:tabs>
          <w:tab w:val="left" w:pos="4096"/>
        </w:tabs>
      </w:pPr>
      <w:r>
        <w:tab/>
      </w:r>
      <w:r w:rsidRPr="00C659AA">
        <w:rPr>
          <w:noProof/>
        </w:rPr>
        <w:drawing>
          <wp:inline distT="0" distB="0" distL="0" distR="0" wp14:anchorId="7CF38652" wp14:editId="5BB0140B">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297D09E8" w14:textId="4ECE16F7" w:rsidR="00C659AA" w:rsidRDefault="00C659AA" w:rsidP="00C659AA">
      <w:pPr>
        <w:tabs>
          <w:tab w:val="left" w:pos="4096"/>
        </w:tabs>
      </w:pPr>
    </w:p>
    <w:p w14:paraId="5353E143" w14:textId="5D8E6E37" w:rsidR="00C659AA" w:rsidRDefault="00C659AA" w:rsidP="00C659AA">
      <w:pPr>
        <w:tabs>
          <w:tab w:val="left" w:pos="4096"/>
        </w:tabs>
      </w:pPr>
      <w:r w:rsidRPr="00C659AA">
        <w:rPr>
          <w:noProof/>
        </w:rPr>
        <w:lastRenderedPageBreak/>
        <w:drawing>
          <wp:inline distT="0" distB="0" distL="0" distR="0" wp14:anchorId="6C75EF18" wp14:editId="089A5686">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3C270A26" w14:textId="40BD294C" w:rsidR="00C659AA" w:rsidRPr="00C659AA" w:rsidRDefault="00C659AA" w:rsidP="00C659AA"/>
    <w:p w14:paraId="013CDC11" w14:textId="03680FE8" w:rsidR="00C659AA" w:rsidRDefault="00C659AA" w:rsidP="00C659AA">
      <w:pPr>
        <w:tabs>
          <w:tab w:val="left" w:pos="7224"/>
        </w:tabs>
        <w:jc w:val="both"/>
      </w:pPr>
    </w:p>
    <w:p w14:paraId="4A36E596" w14:textId="780201CA" w:rsidR="00C659AA" w:rsidRDefault="00C659AA" w:rsidP="00C659AA">
      <w:pPr>
        <w:tabs>
          <w:tab w:val="left" w:pos="7224"/>
        </w:tabs>
        <w:jc w:val="both"/>
        <w:rPr>
          <w:b/>
          <w:bCs/>
          <w:u w:val="single"/>
        </w:rPr>
      </w:pPr>
      <w:r w:rsidRPr="00C659AA">
        <w:rPr>
          <w:b/>
          <w:bCs/>
          <w:u w:val="single"/>
        </w:rPr>
        <w:t xml:space="preserve">How did Lawrence County Schools </w:t>
      </w:r>
      <w:r>
        <w:rPr>
          <w:b/>
          <w:bCs/>
          <w:u w:val="single"/>
        </w:rPr>
        <w:t>rate</w:t>
      </w:r>
      <w:r w:rsidRPr="00C659AA">
        <w:rPr>
          <w:b/>
          <w:bCs/>
          <w:u w:val="single"/>
        </w:rPr>
        <w:t>?</w:t>
      </w:r>
    </w:p>
    <w:p w14:paraId="4E3B3D3A" w14:textId="6EFAC409" w:rsidR="00C659AA" w:rsidRDefault="00C659AA" w:rsidP="00C659AA">
      <w:pPr>
        <w:tabs>
          <w:tab w:val="left" w:pos="7224"/>
        </w:tabs>
        <w:jc w:val="both"/>
        <w:rPr>
          <w:b/>
          <w:bCs/>
          <w:u w:val="single"/>
        </w:rPr>
      </w:pPr>
    </w:p>
    <w:p w14:paraId="253F7007" w14:textId="0E41F5C8" w:rsidR="00C659AA" w:rsidRPr="00C659AA" w:rsidRDefault="00C659AA" w:rsidP="00C659AA">
      <w:pPr>
        <w:tabs>
          <w:tab w:val="left" w:pos="2160"/>
        </w:tabs>
        <w:jc w:val="both"/>
        <w:rPr>
          <w:sz w:val="20"/>
          <w:szCs w:val="20"/>
          <w:u w:val="single"/>
        </w:rPr>
      </w:pPr>
      <w:r>
        <w:rPr>
          <w:sz w:val="20"/>
          <w:szCs w:val="20"/>
          <w:u w:val="single"/>
        </w:rPr>
        <w:t>SCHOOL</w:t>
      </w:r>
      <w:r>
        <w:rPr>
          <w:sz w:val="20"/>
          <w:szCs w:val="20"/>
          <w:u w:val="single"/>
        </w:rPr>
        <w:tab/>
        <w:t>OVERALL SCHOOL RATING</w:t>
      </w:r>
      <w:r>
        <w:rPr>
          <w:sz w:val="20"/>
          <w:szCs w:val="20"/>
          <w:u w:val="single"/>
        </w:rPr>
        <w:tab/>
      </w:r>
      <w:r>
        <w:rPr>
          <w:sz w:val="20"/>
          <w:szCs w:val="20"/>
          <w:u w:val="single"/>
        </w:rPr>
        <w:tab/>
      </w:r>
    </w:p>
    <w:p w14:paraId="78A5A7E1" w14:textId="6070EFEE" w:rsidR="00C659AA" w:rsidRDefault="00C659AA" w:rsidP="00C659AA">
      <w:pPr>
        <w:tabs>
          <w:tab w:val="left" w:pos="1710"/>
        </w:tabs>
        <w:jc w:val="both"/>
        <w:rPr>
          <w:sz w:val="20"/>
          <w:szCs w:val="20"/>
        </w:rPr>
      </w:pPr>
      <w:r>
        <w:rPr>
          <w:sz w:val="20"/>
          <w:szCs w:val="20"/>
        </w:rPr>
        <w:t>Fallsburg Elementary</w:t>
      </w:r>
      <w:r>
        <w:rPr>
          <w:sz w:val="20"/>
          <w:szCs w:val="20"/>
        </w:rPr>
        <w:tab/>
      </w:r>
      <w:r>
        <w:rPr>
          <w:sz w:val="20"/>
          <w:szCs w:val="20"/>
        </w:rPr>
        <w:tab/>
        <w:t>Green/High</w:t>
      </w:r>
      <w:r>
        <w:rPr>
          <w:sz w:val="20"/>
          <w:szCs w:val="20"/>
        </w:rPr>
        <w:tab/>
      </w:r>
      <w:r>
        <w:rPr>
          <w:sz w:val="20"/>
          <w:szCs w:val="20"/>
        </w:rPr>
        <w:tab/>
      </w:r>
    </w:p>
    <w:p w14:paraId="06384CAA" w14:textId="2F5FF2A9" w:rsidR="00C659AA" w:rsidRDefault="00C659AA" w:rsidP="00C659AA">
      <w:pPr>
        <w:tabs>
          <w:tab w:val="left" w:pos="1710"/>
        </w:tabs>
        <w:jc w:val="both"/>
        <w:rPr>
          <w:sz w:val="20"/>
          <w:szCs w:val="20"/>
        </w:rPr>
      </w:pPr>
      <w:r>
        <w:rPr>
          <w:sz w:val="20"/>
          <w:szCs w:val="20"/>
        </w:rPr>
        <w:t>Fallsburg Middle</w:t>
      </w:r>
      <w:r>
        <w:rPr>
          <w:sz w:val="20"/>
          <w:szCs w:val="20"/>
        </w:rPr>
        <w:tab/>
      </w:r>
      <w:r>
        <w:rPr>
          <w:sz w:val="20"/>
          <w:szCs w:val="20"/>
        </w:rPr>
        <w:tab/>
        <w:t>Yellow/Medium</w:t>
      </w:r>
    </w:p>
    <w:p w14:paraId="0AFF0830" w14:textId="569DFE79" w:rsidR="00C659AA" w:rsidRDefault="00C659AA" w:rsidP="00C659AA">
      <w:pPr>
        <w:tabs>
          <w:tab w:val="left" w:pos="1710"/>
        </w:tabs>
        <w:jc w:val="both"/>
        <w:rPr>
          <w:sz w:val="20"/>
          <w:szCs w:val="20"/>
        </w:rPr>
      </w:pPr>
      <w:r>
        <w:rPr>
          <w:sz w:val="20"/>
          <w:szCs w:val="20"/>
        </w:rPr>
        <w:t>Louisa East &amp; West</w:t>
      </w:r>
      <w:r>
        <w:rPr>
          <w:sz w:val="20"/>
          <w:szCs w:val="20"/>
        </w:rPr>
        <w:tab/>
      </w:r>
      <w:r>
        <w:rPr>
          <w:sz w:val="20"/>
          <w:szCs w:val="20"/>
        </w:rPr>
        <w:tab/>
        <w:t>Yellow/Medium</w:t>
      </w:r>
      <w:r>
        <w:rPr>
          <w:sz w:val="20"/>
          <w:szCs w:val="20"/>
        </w:rPr>
        <w:tab/>
      </w:r>
      <w:r>
        <w:rPr>
          <w:sz w:val="20"/>
          <w:szCs w:val="20"/>
        </w:rPr>
        <w:tab/>
      </w:r>
    </w:p>
    <w:p w14:paraId="555BE77A" w14:textId="0EED16DD" w:rsidR="00C659AA" w:rsidRDefault="00C659AA" w:rsidP="00C659AA">
      <w:pPr>
        <w:tabs>
          <w:tab w:val="left" w:pos="1710"/>
        </w:tabs>
        <w:jc w:val="both"/>
        <w:rPr>
          <w:sz w:val="20"/>
          <w:szCs w:val="20"/>
        </w:rPr>
      </w:pPr>
      <w:r>
        <w:rPr>
          <w:sz w:val="20"/>
          <w:szCs w:val="20"/>
        </w:rPr>
        <w:t>Louisa Middle</w:t>
      </w:r>
      <w:r>
        <w:rPr>
          <w:sz w:val="20"/>
          <w:szCs w:val="20"/>
        </w:rPr>
        <w:tab/>
      </w:r>
      <w:r>
        <w:rPr>
          <w:sz w:val="20"/>
          <w:szCs w:val="20"/>
        </w:rPr>
        <w:tab/>
        <w:t>Yellow/Medium</w:t>
      </w:r>
    </w:p>
    <w:p w14:paraId="3892CB1E" w14:textId="151490C1" w:rsidR="00C659AA" w:rsidRDefault="00C659AA" w:rsidP="00C659AA">
      <w:pPr>
        <w:tabs>
          <w:tab w:val="left" w:pos="1710"/>
        </w:tabs>
        <w:jc w:val="both"/>
        <w:rPr>
          <w:sz w:val="20"/>
          <w:szCs w:val="20"/>
        </w:rPr>
      </w:pPr>
      <w:r>
        <w:rPr>
          <w:sz w:val="20"/>
          <w:szCs w:val="20"/>
        </w:rPr>
        <w:t>Blaine Middle</w:t>
      </w:r>
      <w:r>
        <w:rPr>
          <w:sz w:val="20"/>
          <w:szCs w:val="20"/>
        </w:rPr>
        <w:tab/>
      </w:r>
      <w:r>
        <w:rPr>
          <w:sz w:val="20"/>
          <w:szCs w:val="20"/>
        </w:rPr>
        <w:tab/>
        <w:t>Yellow/Medium</w:t>
      </w:r>
    </w:p>
    <w:p w14:paraId="5101E7DF" w14:textId="45F069FF" w:rsidR="00C659AA" w:rsidRDefault="00C659AA" w:rsidP="00C659AA">
      <w:pPr>
        <w:tabs>
          <w:tab w:val="left" w:pos="1710"/>
        </w:tabs>
        <w:jc w:val="both"/>
        <w:rPr>
          <w:sz w:val="20"/>
          <w:szCs w:val="20"/>
        </w:rPr>
      </w:pPr>
      <w:r>
        <w:rPr>
          <w:sz w:val="20"/>
          <w:szCs w:val="20"/>
        </w:rPr>
        <w:t>Blaine Elementary</w:t>
      </w:r>
      <w:r>
        <w:rPr>
          <w:sz w:val="20"/>
          <w:szCs w:val="20"/>
        </w:rPr>
        <w:tab/>
      </w:r>
      <w:r>
        <w:rPr>
          <w:sz w:val="20"/>
          <w:szCs w:val="20"/>
        </w:rPr>
        <w:tab/>
        <w:t>Orange/Low</w:t>
      </w:r>
    </w:p>
    <w:p w14:paraId="331F24B1" w14:textId="31A146EE" w:rsidR="00C659AA" w:rsidRDefault="00C659AA" w:rsidP="00C659AA">
      <w:pPr>
        <w:tabs>
          <w:tab w:val="left" w:pos="1710"/>
        </w:tabs>
        <w:jc w:val="both"/>
        <w:rPr>
          <w:sz w:val="20"/>
          <w:szCs w:val="20"/>
        </w:rPr>
      </w:pPr>
      <w:r>
        <w:rPr>
          <w:sz w:val="20"/>
          <w:szCs w:val="20"/>
        </w:rPr>
        <w:t>Lawrence County High</w:t>
      </w:r>
      <w:r>
        <w:rPr>
          <w:sz w:val="20"/>
          <w:szCs w:val="20"/>
        </w:rPr>
        <w:tab/>
        <w:t>Orange/Low</w:t>
      </w:r>
    </w:p>
    <w:p w14:paraId="130DD798" w14:textId="3EDA9A2F" w:rsidR="00C659AA" w:rsidRDefault="00C659AA" w:rsidP="00C659AA">
      <w:pPr>
        <w:tabs>
          <w:tab w:val="left" w:pos="1710"/>
        </w:tabs>
        <w:jc w:val="both"/>
        <w:rPr>
          <w:sz w:val="20"/>
          <w:szCs w:val="20"/>
        </w:rPr>
      </w:pPr>
    </w:p>
    <w:p w14:paraId="293F86C6" w14:textId="76ED4ADB" w:rsidR="00C659AA" w:rsidRPr="00C659AA" w:rsidRDefault="00C659AA" w:rsidP="00C659AA">
      <w:pPr>
        <w:tabs>
          <w:tab w:val="left" w:pos="1710"/>
        </w:tabs>
        <w:jc w:val="both"/>
        <w:rPr>
          <w:b/>
          <w:bCs/>
          <w:sz w:val="20"/>
          <w:szCs w:val="20"/>
          <w:u w:val="single"/>
        </w:rPr>
      </w:pPr>
      <w:r w:rsidRPr="00C659AA">
        <w:rPr>
          <w:b/>
          <w:bCs/>
          <w:sz w:val="20"/>
          <w:szCs w:val="20"/>
          <w:u w:val="single"/>
        </w:rPr>
        <w:t>Other Notes:</w:t>
      </w:r>
    </w:p>
    <w:p w14:paraId="2892B9AC" w14:textId="3ADD0A59" w:rsidR="00C659AA" w:rsidRPr="00C659AA" w:rsidRDefault="00C659AA" w:rsidP="00C659AA">
      <w:pPr>
        <w:pStyle w:val="ListParagraph"/>
        <w:numPr>
          <w:ilvl w:val="0"/>
          <w:numId w:val="4"/>
        </w:numPr>
        <w:tabs>
          <w:tab w:val="left" w:pos="1710"/>
        </w:tabs>
        <w:jc w:val="both"/>
        <w:rPr>
          <w:sz w:val="20"/>
          <w:szCs w:val="20"/>
        </w:rPr>
      </w:pPr>
      <w:r w:rsidRPr="00C659AA">
        <w:rPr>
          <w:sz w:val="20"/>
          <w:szCs w:val="20"/>
        </w:rPr>
        <w:t xml:space="preserve">Fallsburg Elementary received the highest </w:t>
      </w:r>
      <w:r>
        <w:rPr>
          <w:sz w:val="20"/>
          <w:szCs w:val="20"/>
        </w:rPr>
        <w:t xml:space="preserve">overall </w:t>
      </w:r>
      <w:r w:rsidRPr="00C659AA">
        <w:rPr>
          <w:sz w:val="20"/>
          <w:szCs w:val="20"/>
        </w:rPr>
        <w:t>classification in the district with a “GREEN” designation, which places their scores among the higher scores in our region and in our state.</w:t>
      </w:r>
    </w:p>
    <w:p w14:paraId="2174628D" w14:textId="26AF27B3" w:rsidR="00C659AA" w:rsidRPr="00C659AA" w:rsidRDefault="00C659AA" w:rsidP="00C659AA">
      <w:pPr>
        <w:pStyle w:val="ListParagraph"/>
        <w:numPr>
          <w:ilvl w:val="0"/>
          <w:numId w:val="4"/>
        </w:numPr>
        <w:tabs>
          <w:tab w:val="left" w:pos="1710"/>
        </w:tabs>
        <w:jc w:val="both"/>
        <w:rPr>
          <w:sz w:val="20"/>
          <w:szCs w:val="20"/>
        </w:rPr>
      </w:pPr>
      <w:r w:rsidRPr="00C659AA">
        <w:rPr>
          <w:sz w:val="20"/>
          <w:szCs w:val="20"/>
        </w:rPr>
        <w:t xml:space="preserve">Four schools (Blaine Middle, Fallsburg Elementary, Louisa East, and Louisa West) scored in the highest category of “BLUE” on the School Climate and Safety </w:t>
      </w:r>
      <w:r>
        <w:rPr>
          <w:sz w:val="20"/>
          <w:szCs w:val="20"/>
        </w:rPr>
        <w:t xml:space="preserve">Survey </w:t>
      </w:r>
      <w:r w:rsidRPr="00C659AA">
        <w:rPr>
          <w:sz w:val="20"/>
          <w:szCs w:val="20"/>
        </w:rPr>
        <w:t xml:space="preserve">indicator. </w:t>
      </w:r>
    </w:p>
    <w:p w14:paraId="622DC4A7" w14:textId="6F39A6C3" w:rsidR="00C659AA" w:rsidRDefault="00C659AA" w:rsidP="00C659AA">
      <w:pPr>
        <w:pStyle w:val="ListParagraph"/>
        <w:numPr>
          <w:ilvl w:val="0"/>
          <w:numId w:val="4"/>
        </w:numPr>
        <w:tabs>
          <w:tab w:val="left" w:pos="1710"/>
        </w:tabs>
        <w:jc w:val="both"/>
        <w:rPr>
          <w:sz w:val="20"/>
          <w:szCs w:val="20"/>
        </w:rPr>
      </w:pPr>
      <w:r>
        <w:rPr>
          <w:sz w:val="20"/>
          <w:szCs w:val="20"/>
        </w:rPr>
        <w:t xml:space="preserve">Lawrence County High School was designated as a Targeted Support and Improvement (or TSI) school based on the needs of our special education students.  </w:t>
      </w:r>
    </w:p>
    <w:p w14:paraId="44EEA1EE" w14:textId="11BF8027" w:rsidR="00C659AA" w:rsidRDefault="00C659AA" w:rsidP="00C659AA">
      <w:pPr>
        <w:pStyle w:val="ListParagraph"/>
        <w:numPr>
          <w:ilvl w:val="0"/>
          <w:numId w:val="4"/>
        </w:numPr>
        <w:tabs>
          <w:tab w:val="left" w:pos="1710"/>
        </w:tabs>
        <w:jc w:val="both"/>
        <w:rPr>
          <w:sz w:val="20"/>
          <w:szCs w:val="20"/>
        </w:rPr>
      </w:pPr>
      <w:r>
        <w:rPr>
          <w:sz w:val="20"/>
          <w:szCs w:val="20"/>
        </w:rPr>
        <w:t>No school was designated as a Comprehensive Support and Improvement (or CSI) school based on falling into the lowest 5% of schools in the state.  (No “RED” or “VERY LOW” schools.)</w:t>
      </w:r>
    </w:p>
    <w:p w14:paraId="7AA40EA3" w14:textId="04B8F010" w:rsidR="00C659AA" w:rsidRDefault="00C659AA" w:rsidP="00C659AA">
      <w:pPr>
        <w:pStyle w:val="ListParagraph"/>
        <w:numPr>
          <w:ilvl w:val="0"/>
          <w:numId w:val="4"/>
        </w:numPr>
        <w:tabs>
          <w:tab w:val="left" w:pos="1710"/>
        </w:tabs>
        <w:jc w:val="both"/>
        <w:rPr>
          <w:sz w:val="20"/>
          <w:szCs w:val="20"/>
        </w:rPr>
      </w:pPr>
      <w:r>
        <w:rPr>
          <w:sz w:val="20"/>
          <w:szCs w:val="20"/>
        </w:rPr>
        <w:t>To see specific scores, please visit the SCHOOL REPORT DATA that can be found on the Kentucky Department of Education website.</w:t>
      </w:r>
    </w:p>
    <w:p w14:paraId="0B61CD36" w14:textId="77777777" w:rsidR="00C659AA" w:rsidRDefault="00C659AA" w:rsidP="00C659AA">
      <w:pPr>
        <w:tabs>
          <w:tab w:val="left" w:pos="1710"/>
        </w:tabs>
        <w:jc w:val="both"/>
        <w:rPr>
          <w:sz w:val="20"/>
          <w:szCs w:val="20"/>
        </w:rPr>
      </w:pPr>
    </w:p>
    <w:p w14:paraId="7370B9D6" w14:textId="77777777" w:rsidR="00C659AA" w:rsidRDefault="00C659AA" w:rsidP="00C659AA">
      <w:pPr>
        <w:tabs>
          <w:tab w:val="left" w:pos="1710"/>
        </w:tabs>
        <w:jc w:val="both"/>
        <w:rPr>
          <w:sz w:val="20"/>
          <w:szCs w:val="20"/>
        </w:rPr>
      </w:pPr>
    </w:p>
    <w:p w14:paraId="05EB948D" w14:textId="77777777" w:rsidR="00C659AA" w:rsidRDefault="00C659AA" w:rsidP="00C659AA">
      <w:pPr>
        <w:tabs>
          <w:tab w:val="left" w:pos="1710"/>
        </w:tabs>
        <w:jc w:val="both"/>
        <w:rPr>
          <w:sz w:val="20"/>
          <w:szCs w:val="20"/>
        </w:rPr>
      </w:pPr>
    </w:p>
    <w:p w14:paraId="735CB8FA" w14:textId="132AE0B2" w:rsidR="00C659AA" w:rsidRPr="00C659AA" w:rsidRDefault="00C659AA" w:rsidP="00C659AA">
      <w:pPr>
        <w:tabs>
          <w:tab w:val="left" w:pos="1710"/>
        </w:tabs>
        <w:jc w:val="both"/>
        <w:rPr>
          <w:sz w:val="20"/>
          <w:szCs w:val="20"/>
        </w:rPr>
      </w:pPr>
      <w:r>
        <w:rPr>
          <w:sz w:val="20"/>
          <w:szCs w:val="20"/>
        </w:rPr>
        <w:tab/>
        <w:t xml:space="preserve"> </w:t>
      </w:r>
    </w:p>
    <w:sectPr w:rsidR="00C659AA" w:rsidRPr="00C659AA" w:rsidSect="000E1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79C2" w14:textId="77777777" w:rsidR="00643B2E" w:rsidRDefault="00643B2E" w:rsidP="00C659AA">
      <w:r>
        <w:separator/>
      </w:r>
    </w:p>
  </w:endnote>
  <w:endnote w:type="continuationSeparator" w:id="0">
    <w:p w14:paraId="03C0CD1D" w14:textId="77777777" w:rsidR="00643B2E" w:rsidRDefault="00643B2E" w:rsidP="00C6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8A10" w14:textId="77777777" w:rsidR="00643B2E" w:rsidRDefault="00643B2E" w:rsidP="00C659AA">
      <w:r>
        <w:separator/>
      </w:r>
    </w:p>
  </w:footnote>
  <w:footnote w:type="continuationSeparator" w:id="0">
    <w:p w14:paraId="4D20FF80" w14:textId="77777777" w:rsidR="00643B2E" w:rsidRDefault="00643B2E" w:rsidP="00C6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505"/>
    <w:multiLevelType w:val="hybridMultilevel"/>
    <w:tmpl w:val="22CC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3670F"/>
    <w:multiLevelType w:val="hybridMultilevel"/>
    <w:tmpl w:val="DD78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412A"/>
    <w:multiLevelType w:val="hybridMultilevel"/>
    <w:tmpl w:val="419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B1B1E"/>
    <w:multiLevelType w:val="hybridMultilevel"/>
    <w:tmpl w:val="258827E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053194297">
    <w:abstractNumId w:val="2"/>
  </w:num>
  <w:num w:numId="2" w16cid:durableId="89398192">
    <w:abstractNumId w:val="1"/>
  </w:num>
  <w:num w:numId="3" w16cid:durableId="1645742436">
    <w:abstractNumId w:val="3"/>
  </w:num>
  <w:num w:numId="4" w16cid:durableId="75976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AA"/>
    <w:rsid w:val="000E1295"/>
    <w:rsid w:val="00494780"/>
    <w:rsid w:val="00643B2E"/>
    <w:rsid w:val="009B4A71"/>
    <w:rsid w:val="00A75660"/>
    <w:rsid w:val="00C43C3D"/>
    <w:rsid w:val="00C659AA"/>
    <w:rsid w:val="00D2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6939"/>
  <w15:chartTrackingRefBased/>
  <w15:docId w15:val="{C5374CC4-9E68-2947-A409-B7695A57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AA"/>
    <w:pPr>
      <w:tabs>
        <w:tab w:val="center" w:pos="4680"/>
        <w:tab w:val="right" w:pos="9360"/>
      </w:tabs>
    </w:pPr>
  </w:style>
  <w:style w:type="character" w:customStyle="1" w:styleId="HeaderChar">
    <w:name w:val="Header Char"/>
    <w:basedOn w:val="DefaultParagraphFont"/>
    <w:link w:val="Header"/>
    <w:uiPriority w:val="99"/>
    <w:rsid w:val="00C659AA"/>
  </w:style>
  <w:style w:type="paragraph" w:styleId="Footer">
    <w:name w:val="footer"/>
    <w:basedOn w:val="Normal"/>
    <w:link w:val="FooterChar"/>
    <w:uiPriority w:val="99"/>
    <w:unhideWhenUsed/>
    <w:rsid w:val="00C659AA"/>
    <w:pPr>
      <w:tabs>
        <w:tab w:val="center" w:pos="4680"/>
        <w:tab w:val="right" w:pos="9360"/>
      </w:tabs>
    </w:pPr>
  </w:style>
  <w:style w:type="character" w:customStyle="1" w:styleId="FooterChar">
    <w:name w:val="Footer Char"/>
    <w:basedOn w:val="DefaultParagraphFont"/>
    <w:link w:val="Footer"/>
    <w:uiPriority w:val="99"/>
    <w:rsid w:val="00C659AA"/>
  </w:style>
  <w:style w:type="paragraph" w:styleId="ListParagraph">
    <w:name w:val="List Paragraph"/>
    <w:basedOn w:val="Normal"/>
    <w:uiPriority w:val="34"/>
    <w:qFormat/>
    <w:rsid w:val="00C6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2644</Characters>
  <Application>Microsoft Office Word</Application>
  <DocSecurity>0</DocSecurity>
  <Lines>71</Lines>
  <Paragraphs>38</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Robbie Dr.</dc:creator>
  <cp:keywords/>
  <dc:description/>
  <cp:lastModifiedBy>Gauze, Sarah</cp:lastModifiedBy>
  <cp:revision>2</cp:revision>
  <dcterms:created xsi:type="dcterms:W3CDTF">2022-10-18T14:28:00Z</dcterms:created>
  <dcterms:modified xsi:type="dcterms:W3CDTF">2022-10-18T14:28:00Z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af726501076cbfc2cb04b8f507e7e195bd43d9a655a2904e3cd776dbc276122d</vt:lpwstr>
  </property>
</Properties>
</file>